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492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42"/>
        <w:gridCol w:w="368"/>
        <w:gridCol w:w="3289"/>
        <w:gridCol w:w="1335"/>
        <w:gridCol w:w="735"/>
        <w:gridCol w:w="720"/>
        <w:gridCol w:w="7670"/>
      </w:tblGrid>
      <w:tr w14:paraId="7BC9D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6" w:hRule="atLeast"/>
        </w:trPr>
        <w:tc>
          <w:tcPr>
            <w:tcW w:w="5000" w:type="pct"/>
            <w:gridSpan w:val="7"/>
            <w:tcBorders>
              <w:tl2br w:val="nil"/>
              <w:tr2bl w:val="nil"/>
            </w:tcBorders>
            <w:shd w:val="clear" w:color="auto" w:fill="auto"/>
            <w:vAlign w:val="center"/>
          </w:tcPr>
          <w:p w14:paraId="5B7EC47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四川护理职业学院附属医院（四川省第三人民医院）办公家具采购项目需求清单</w:t>
            </w:r>
          </w:p>
        </w:tc>
      </w:tr>
      <w:tr w14:paraId="17D8B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5F2454E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序号</w:t>
            </w:r>
          </w:p>
        </w:tc>
        <w:tc>
          <w:tcPr>
            <w:tcW w:w="125" w:type="pct"/>
            <w:tcBorders>
              <w:tl2br w:val="nil"/>
              <w:tr2bl w:val="nil"/>
            </w:tcBorders>
            <w:shd w:val="clear" w:color="auto" w:fill="auto"/>
            <w:vAlign w:val="center"/>
          </w:tcPr>
          <w:p w14:paraId="3DD764A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品名</w:t>
            </w:r>
          </w:p>
        </w:tc>
        <w:tc>
          <w:tcPr>
            <w:tcW w:w="1121" w:type="pct"/>
            <w:tcBorders>
              <w:tl2br w:val="nil"/>
              <w:tr2bl w:val="nil"/>
            </w:tcBorders>
            <w:shd w:val="clear" w:color="auto" w:fill="auto"/>
            <w:vAlign w:val="center"/>
          </w:tcPr>
          <w:p w14:paraId="720BCB0E">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示例图片</w:t>
            </w:r>
          </w:p>
        </w:tc>
        <w:tc>
          <w:tcPr>
            <w:tcW w:w="455" w:type="pct"/>
            <w:tcBorders>
              <w:tl2br w:val="nil"/>
              <w:tr2bl w:val="nil"/>
            </w:tcBorders>
            <w:shd w:val="clear" w:color="auto" w:fill="auto"/>
            <w:vAlign w:val="center"/>
          </w:tcPr>
          <w:p w14:paraId="03086F69">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规格尺寸(长*宽*高)</w:t>
            </w:r>
          </w:p>
        </w:tc>
        <w:tc>
          <w:tcPr>
            <w:tcW w:w="250" w:type="pct"/>
            <w:tcBorders>
              <w:tl2br w:val="nil"/>
              <w:tr2bl w:val="nil"/>
            </w:tcBorders>
            <w:shd w:val="clear" w:color="auto" w:fill="auto"/>
            <w:vAlign w:val="center"/>
          </w:tcPr>
          <w:p w14:paraId="69D52EF4">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单位</w:t>
            </w:r>
          </w:p>
        </w:tc>
        <w:tc>
          <w:tcPr>
            <w:tcW w:w="245" w:type="pct"/>
            <w:tcBorders>
              <w:tl2br w:val="nil"/>
              <w:tr2bl w:val="nil"/>
            </w:tcBorders>
            <w:shd w:val="clear" w:color="auto" w:fill="auto"/>
            <w:vAlign w:val="center"/>
          </w:tcPr>
          <w:p w14:paraId="5A9F3D66">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数量合计</w:t>
            </w:r>
          </w:p>
        </w:tc>
        <w:tc>
          <w:tcPr>
            <w:tcW w:w="2616" w:type="pct"/>
            <w:tcBorders>
              <w:tl2br w:val="nil"/>
              <w:tr2bl w:val="nil"/>
            </w:tcBorders>
            <w:shd w:val="clear" w:color="auto" w:fill="auto"/>
            <w:vAlign w:val="center"/>
          </w:tcPr>
          <w:p w14:paraId="351E51D1">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技术参数 </w:t>
            </w:r>
          </w:p>
        </w:tc>
      </w:tr>
      <w:tr w14:paraId="1F3FE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184" w:type="pct"/>
            <w:tcBorders>
              <w:tl2br w:val="nil"/>
              <w:tr2bl w:val="nil"/>
            </w:tcBorders>
            <w:shd w:val="clear" w:color="auto" w:fill="auto"/>
            <w:vAlign w:val="center"/>
          </w:tcPr>
          <w:p w14:paraId="32D70BD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5" w:type="pct"/>
            <w:tcBorders>
              <w:tl2br w:val="nil"/>
              <w:tr2bl w:val="nil"/>
            </w:tcBorders>
            <w:shd w:val="clear" w:color="auto" w:fill="auto"/>
            <w:vAlign w:val="center"/>
          </w:tcPr>
          <w:p w14:paraId="70F1471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办公桌</w:t>
            </w:r>
          </w:p>
        </w:tc>
        <w:tc>
          <w:tcPr>
            <w:tcW w:w="1121" w:type="pct"/>
            <w:tcBorders>
              <w:tl2br w:val="nil"/>
              <w:tr2bl w:val="nil"/>
            </w:tcBorders>
            <w:shd w:val="clear" w:color="auto" w:fill="auto"/>
            <w:vAlign w:val="center"/>
          </w:tcPr>
          <w:p w14:paraId="61EF07C5">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847850" cy="1132205"/>
                  <wp:effectExtent l="0" t="0" r="0" b="1079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1847850" cy="1132205"/>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0B58D37C">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≥1400mm×600mm×750mm</w:t>
            </w:r>
          </w:p>
        </w:tc>
        <w:tc>
          <w:tcPr>
            <w:tcW w:w="250" w:type="pct"/>
            <w:tcBorders>
              <w:tl2br w:val="nil"/>
              <w:tr2bl w:val="nil"/>
            </w:tcBorders>
            <w:shd w:val="clear" w:color="auto" w:fill="auto"/>
            <w:vAlign w:val="center"/>
          </w:tcPr>
          <w:p w14:paraId="0866F5F2">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245" w:type="pct"/>
            <w:tcBorders>
              <w:tl2br w:val="nil"/>
              <w:tr2bl w:val="nil"/>
            </w:tcBorders>
            <w:shd w:val="clear" w:color="auto" w:fill="auto"/>
            <w:noWrap/>
            <w:vAlign w:val="center"/>
          </w:tcPr>
          <w:p w14:paraId="14ED54D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2616" w:type="pct"/>
            <w:tcBorders>
              <w:tl2br w:val="nil"/>
              <w:tr2bl w:val="nil"/>
            </w:tcBorders>
            <w:shd w:val="clear" w:color="auto" w:fill="auto"/>
            <w:vAlign w:val="top"/>
          </w:tcPr>
          <w:p w14:paraId="6EB9246B">
            <w:pPr>
              <w:keepNext w:val="0"/>
              <w:keepLines w:val="0"/>
              <w:pageBreakBefore w:val="0"/>
              <w:widowControl w:val="0"/>
              <w:suppressLineNumbers w:val="0"/>
              <w:kinsoku/>
              <w:wordWrap w:val="0"/>
              <w:overflowPunct/>
              <w:topLinePunct w:val="0"/>
              <w:autoSpaceDE/>
              <w:autoSpaceDN/>
              <w:bidi w:val="0"/>
              <w:adjustRightInd w:val="0"/>
              <w:snapToGrid w:val="0"/>
              <w:jc w:val="left"/>
              <w:textAlignment w:val="top"/>
              <w:rPr>
                <w:rStyle w:val="7"/>
                <w:rFonts w:hint="eastAsia" w:ascii="仿宋" w:hAnsi="仿宋" w:eastAsia="仿宋" w:cs="仿宋"/>
                <w:color w:val="000000" w:themeColor="text1"/>
                <w:sz w:val="24"/>
                <w:szCs w:val="24"/>
                <w:lang w:val="en-US" w:eastAsia="zh-CN" w:bidi="ar"/>
                <w14:textFill>
                  <w14:solidFill>
                    <w14:schemeClr w14:val="tx1"/>
                  </w14:solidFill>
                </w14:textFill>
              </w:rPr>
            </w:pPr>
          </w:p>
          <w:p w14:paraId="302AF648">
            <w:pPr>
              <w:keepNext w:val="0"/>
              <w:keepLines w:val="0"/>
              <w:pageBreakBefore w:val="0"/>
              <w:widowControl w:val="0"/>
              <w:suppressLineNumbers w:val="0"/>
              <w:kinsoku/>
              <w:wordWrap w:val="0"/>
              <w:overflowPunct/>
              <w:topLinePunct w:val="0"/>
              <w:autoSpaceDE/>
              <w:autoSpaceDN/>
              <w:bidi w:val="0"/>
              <w:adjustRightInd w:val="0"/>
              <w:snapToGrid w:val="0"/>
              <w:jc w:val="left"/>
              <w:textAlignment w:val="top"/>
              <w:rPr>
                <w:rStyle w:val="8"/>
                <w:rFonts w:hint="eastAsia" w:ascii="仿宋" w:hAnsi="仿宋" w:eastAsia="仿宋" w:cs="仿宋"/>
                <w:color w:val="000000" w:themeColor="text1"/>
                <w:sz w:val="24"/>
                <w:szCs w:val="24"/>
                <w:lang w:val="en-US" w:eastAsia="zh-CN" w:bidi="ar"/>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i w:val="0"/>
                <w:iCs w:val="0"/>
                <w:color w:val="000000" w:themeColor="text1"/>
                <w:sz w:val="24"/>
                <w:szCs w:val="24"/>
                <w:lang w:val="en-US" w:eastAsia="zh-CN" w:bidi="ar"/>
                <w14:textFill>
                  <w14:solidFill>
                    <w14:schemeClr w14:val="tx1"/>
                  </w14:solidFill>
                </w14:textFill>
              </w:rPr>
              <w:t>1、基材：采用实木颗粒板；根据《GB/T 15102-2017 浸渍胶膜纸饰面纤维板和刨花板》，耐光色牢度＞4级；《GB/T 29899-2024 人造板及其制品中挥发性有机化合物释放量试验</w:t>
            </w:r>
            <w:r>
              <w:rPr>
                <w:rStyle w:val="7"/>
                <w:rFonts w:hint="eastAsia" w:ascii="仿宋" w:hAnsi="仿宋" w:eastAsia="仿宋" w:cs="仿宋"/>
                <w:color w:val="000000" w:themeColor="text1"/>
                <w:sz w:val="24"/>
                <w:szCs w:val="24"/>
                <w:lang w:val="en-US" w:eastAsia="zh-CN" w:bidi="ar"/>
                <w14:textFill>
                  <w14:solidFill>
                    <w14:schemeClr w14:val="tx1"/>
                  </w14:solidFill>
                </w14:textFill>
              </w:rPr>
              <w:t>方法 小型释放舱法》，总挥发性有机化合物（TVOC）≤10μg/m³，满足《GB/T 40908-2021 家具产品及其材料中禁限用物质测定方法 阻燃剂》要求；根据《GB/T 44689-2024 人造板及其制品气味分级及评价方法》，气味等级≤1级。</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2、面材：采用三聚氰胺纸；根据《GB/T 28995-2022 人造板饰面专用纸 》，挥发物含量5.5–9.5%,浸胶量110～170%，预固化度20～70%。</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▲3、封边：采用PVC封边条；根据《QB/T 4463-2013 家具用封边条技术要求》，耐冷热循环性（塑料封边条）应无龟裂、无鼓泡、无变色、无起皱，耐光色牢度（灰色样卡）≥4级；塑料件外观（应无裂纹、明显变形、缩水、针孔，应无凹陷、飞边、褶皱、疙瘩，应无明显色差）未见缺陷。</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4、连接件：采用三合一连接件；根据《GB/T 28203-2011 家具用连接件技术要求及试验方法》《GB/T 3325-2024 金属家具通用技术条件》，外观性能-金属件（应无露底、毛刺、镀层脱落、锈蚀等，应无起泡、烧焦，无光泽（整体异色）、针孔、裂纹、斑点等）未见缺陷。</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5、导轨：采用缓冲导轨；根据《GB/T 3325-2024 金属家具通用技术条件》，外观性能-金属件：无露底、毛刺、镀层脱落、锈蚀等，应光滑均匀，色泽一致，应无流挂、疙瘩、皱皮、飞漆等，耐久性合格。</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6、铰链：采用阻尼铰链；根据《GB/T 3325-2024 金属家具通用技术条件》，外观性能-金属件：无露底、毛刺、镀层脱落、锈蚀等，应无起泡、烧焦，无光泽（整体异色）、针孔、裂纹、斑点等；垂直静载荷、水平静载荷、耐久性均合格。</w:t>
            </w:r>
          </w:p>
        </w:tc>
      </w:tr>
      <w:tr w14:paraId="1F73A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4F4ECE5C">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5" w:type="pct"/>
            <w:tcBorders>
              <w:tl2br w:val="nil"/>
              <w:tr2bl w:val="nil"/>
            </w:tcBorders>
            <w:shd w:val="clear" w:color="auto" w:fill="auto"/>
            <w:vAlign w:val="center"/>
          </w:tcPr>
          <w:p w14:paraId="6050A6B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三人候诊椅</w:t>
            </w:r>
          </w:p>
        </w:tc>
        <w:tc>
          <w:tcPr>
            <w:tcW w:w="1121" w:type="pct"/>
            <w:tcBorders>
              <w:tl2br w:val="nil"/>
              <w:tr2bl w:val="nil"/>
            </w:tcBorders>
            <w:shd w:val="clear" w:color="auto" w:fill="auto"/>
            <w:noWrap/>
            <w:vAlign w:val="center"/>
          </w:tcPr>
          <w:p w14:paraId="7334BB82">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720215" cy="1381760"/>
                  <wp:effectExtent l="0" t="0" r="13335" b="889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1720215" cy="138176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6D25217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≥1800mm×680mm×820mm</w:t>
            </w:r>
          </w:p>
        </w:tc>
        <w:tc>
          <w:tcPr>
            <w:tcW w:w="250" w:type="pct"/>
            <w:tcBorders>
              <w:tl2br w:val="nil"/>
              <w:tr2bl w:val="nil"/>
            </w:tcBorders>
            <w:shd w:val="clear" w:color="auto" w:fill="auto"/>
            <w:vAlign w:val="center"/>
          </w:tcPr>
          <w:p w14:paraId="7AE272E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245" w:type="pct"/>
            <w:tcBorders>
              <w:tl2br w:val="nil"/>
              <w:tr2bl w:val="nil"/>
            </w:tcBorders>
            <w:shd w:val="clear" w:color="auto" w:fill="auto"/>
            <w:noWrap/>
            <w:vAlign w:val="center"/>
          </w:tcPr>
          <w:p w14:paraId="5FB55AF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2616" w:type="pct"/>
            <w:tcBorders>
              <w:tl2br w:val="nil"/>
              <w:tr2bl w:val="nil"/>
            </w:tcBorders>
            <w:shd w:val="clear" w:color="auto" w:fill="auto"/>
            <w:vAlign w:val="center"/>
          </w:tcPr>
          <w:p w14:paraId="2CDC0C9F">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9"/>
                <w:rFonts w:hint="eastAsia" w:ascii="仿宋" w:hAnsi="仿宋" w:eastAsia="仿宋" w:cs="仿宋"/>
                <w:color w:val="000000" w:themeColor="text1"/>
                <w:sz w:val="24"/>
                <w:szCs w:val="24"/>
                <w:lang w:val="en-US" w:eastAsia="zh-CN" w:bidi="ar"/>
                <w14:textFill>
                  <w14:solidFill>
                    <w14:schemeClr w14:val="tx1"/>
                  </w14:solidFill>
                </w14:textFill>
              </w:rPr>
              <w:t>▲1、椅座：采用一体成型PU自结皮椅座，材质要求防霉、防菌；座椅四周全部采用圆角设计，无锐角。</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2、扶手：采用铝合金材质压铸成型，扶手为封闭式结构。</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3、横梁：由钢管弯曲焊接成型，表面做静电喷粉处理。</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4、椅脚：采用铝合金压铸成型，抛光打磨后防锈处理，表面喷涂。</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▲5、金属件表面处理：采用塑粉（粉末涂料），根据HG/T 2006-2022 热固性和热塑性粉末涂料，外观（色泽均匀，无异物，呈松散粉末状）、筛余物、涂膜外观均合格，附着力、耐碱性、耐酸性、耐磨性、耐冲击性均需合格。</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★6、承重压力：每个座位可承受≥100kg的静止压力。</w:t>
            </w:r>
          </w:p>
        </w:tc>
      </w:tr>
      <w:tr w14:paraId="16425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28A448F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5" w:type="pct"/>
            <w:tcBorders>
              <w:tl2br w:val="nil"/>
              <w:tr2bl w:val="nil"/>
            </w:tcBorders>
            <w:shd w:val="clear" w:color="auto" w:fill="auto"/>
            <w:vAlign w:val="center"/>
          </w:tcPr>
          <w:p w14:paraId="1978621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办公椅</w:t>
            </w:r>
          </w:p>
        </w:tc>
        <w:tc>
          <w:tcPr>
            <w:tcW w:w="1121" w:type="pct"/>
            <w:tcBorders>
              <w:tl2br w:val="nil"/>
              <w:tr2bl w:val="nil"/>
            </w:tcBorders>
            <w:shd w:val="clear" w:color="auto" w:fill="auto"/>
            <w:vAlign w:val="center"/>
          </w:tcPr>
          <w:p w14:paraId="06BBE2A9">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470660" cy="1714500"/>
                  <wp:effectExtent l="0" t="0" r="1524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1470660" cy="171450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2F6FA5D9">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default" w:ascii="仿宋" w:hAnsi="仿宋" w:eastAsia="仿宋" w:cs="仿宋"/>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r>
              <w:rPr>
                <w:rFonts w:hint="eastAsia" w:ascii="仿宋" w:hAnsi="仿宋" w:eastAsia="仿宋" w:cs="仿宋"/>
                <w:i w:val="0"/>
                <w:iCs w:val="0"/>
                <w:color w:val="000000" w:themeColor="text1"/>
                <w:sz w:val="24"/>
                <w:szCs w:val="24"/>
                <w:u w:val="none"/>
                <w:lang w:val="en-US" w:eastAsia="zh-CN"/>
                <w14:textFill>
                  <w14:solidFill>
                    <w14:schemeClr w14:val="tx1"/>
                  </w14:solidFill>
                </w14:textFill>
              </w:rPr>
              <w:t>450mmx520mmx1020mm</w:t>
            </w:r>
          </w:p>
        </w:tc>
        <w:tc>
          <w:tcPr>
            <w:tcW w:w="250" w:type="pct"/>
            <w:tcBorders>
              <w:tl2br w:val="nil"/>
              <w:tr2bl w:val="nil"/>
            </w:tcBorders>
            <w:shd w:val="clear" w:color="auto" w:fill="auto"/>
            <w:vAlign w:val="center"/>
          </w:tcPr>
          <w:p w14:paraId="093B1E51">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张</w:t>
            </w:r>
          </w:p>
        </w:tc>
        <w:tc>
          <w:tcPr>
            <w:tcW w:w="245" w:type="pct"/>
            <w:tcBorders>
              <w:tl2br w:val="nil"/>
              <w:tr2bl w:val="nil"/>
            </w:tcBorders>
            <w:shd w:val="clear" w:color="auto" w:fill="auto"/>
            <w:noWrap/>
            <w:vAlign w:val="center"/>
          </w:tcPr>
          <w:p w14:paraId="20E6E3B6">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2616" w:type="pct"/>
            <w:tcBorders>
              <w:tl2br w:val="nil"/>
              <w:tr2bl w:val="nil"/>
            </w:tcBorders>
            <w:shd w:val="clear" w:color="auto" w:fill="auto"/>
            <w:vAlign w:val="center"/>
          </w:tcPr>
          <w:p w14:paraId="713BA82E">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color w:val="000000" w:themeColor="text1"/>
                <w14:textFill>
                  <w14:solidFill>
                    <w14:schemeClr w14:val="tx1"/>
                  </w14:solidFill>
                </w14:textFill>
              </w:rPr>
            </w:pPr>
          </w:p>
          <w:p w14:paraId="0C846E2A">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1、面材：采用网布，网布符合《GB/T 17591-2025 阻燃织物》、《GB/T 24346</w:t>
            </w:r>
            <w:r>
              <w:rPr>
                <w:rStyle w:val="10"/>
                <w:rFonts w:hint="eastAsia" w:ascii="仿宋" w:hAnsi="仿宋" w:eastAsia="仿宋" w:cs="仿宋"/>
                <w:color w:val="000000" w:themeColor="text1"/>
                <w:sz w:val="24"/>
                <w:szCs w:val="24"/>
                <w:lang w:val="en-US" w:eastAsia="zh-CN" w:bidi="ar"/>
                <w14:textFill>
                  <w14:solidFill>
                    <w14:schemeClr w14:val="tx1"/>
                  </w14:solidFill>
                </w14:textFill>
              </w:rPr>
              <w:t>-2009</w:t>
            </w:r>
            <w:r>
              <w:rPr>
                <w:rStyle w:val="7"/>
                <w:rFonts w:hint="eastAsia" w:ascii="仿宋" w:hAnsi="仿宋" w:eastAsia="仿宋" w:cs="仿宋"/>
                <w:color w:val="000000" w:themeColor="text1"/>
                <w:sz w:val="24"/>
                <w:szCs w:val="24"/>
                <w:lang w:val="en-US" w:eastAsia="zh-CN" w:bidi="ar"/>
                <w14:textFill>
                  <w14:solidFill>
                    <w14:schemeClr w14:val="tx1"/>
                  </w14:solidFill>
                </w14:textFill>
              </w:rPr>
              <w:t xml:space="preserve"> 纺织品 防霉性能的评价》标准要求。</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t>2、海绵：采用高密度海绵；根据《GB/T 10802-2023 通用软质聚氨酯泡沫塑料》，压陷比≥1.8、回弹率≥50%、断裂伸长率≥120%、撕裂强度≥1.8N/cm、干热老化后拉伸强度≥120kPa，湿热老化后拉伸强度≥120kPa,均需合格。</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3、椅架：金属弓形架。</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4、弓形脚架：金属件外观性能要求（电镀层）检测合格，采用≥1.2mm 厚不锈钢管，带防滑脚垫。</w:t>
            </w:r>
          </w:p>
        </w:tc>
      </w:tr>
      <w:tr w14:paraId="1A90D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1E49CC4C">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5" w:type="pct"/>
            <w:tcBorders>
              <w:tl2br w:val="nil"/>
              <w:tr2bl w:val="nil"/>
            </w:tcBorders>
            <w:shd w:val="clear" w:color="auto" w:fill="auto"/>
            <w:vAlign w:val="center"/>
          </w:tcPr>
          <w:p w14:paraId="1C5D2A45">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无靠背候诊椅</w:t>
            </w:r>
          </w:p>
        </w:tc>
        <w:tc>
          <w:tcPr>
            <w:tcW w:w="1121" w:type="pct"/>
            <w:tcBorders>
              <w:tl2br w:val="nil"/>
              <w:tr2bl w:val="nil"/>
            </w:tcBorders>
            <w:shd w:val="clear" w:color="auto" w:fill="auto"/>
            <w:noWrap/>
            <w:vAlign w:val="center"/>
          </w:tcPr>
          <w:p w14:paraId="0AEF2679">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618615" cy="714375"/>
                  <wp:effectExtent l="0" t="0" r="635"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1618615" cy="714375"/>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5EF31A95">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≥2300mm×450mm×400mm</w:t>
            </w:r>
          </w:p>
        </w:tc>
        <w:tc>
          <w:tcPr>
            <w:tcW w:w="250" w:type="pct"/>
            <w:tcBorders>
              <w:tl2br w:val="nil"/>
              <w:tr2bl w:val="nil"/>
            </w:tcBorders>
            <w:shd w:val="clear" w:color="auto" w:fill="auto"/>
            <w:vAlign w:val="center"/>
          </w:tcPr>
          <w:p w14:paraId="503AE401">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245" w:type="pct"/>
            <w:tcBorders>
              <w:tl2br w:val="nil"/>
              <w:tr2bl w:val="nil"/>
            </w:tcBorders>
            <w:shd w:val="clear" w:color="auto" w:fill="auto"/>
            <w:noWrap/>
            <w:vAlign w:val="center"/>
          </w:tcPr>
          <w:p w14:paraId="1D5DE01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616" w:type="pct"/>
            <w:tcBorders>
              <w:tl2br w:val="nil"/>
              <w:tr2bl w:val="nil"/>
            </w:tcBorders>
            <w:shd w:val="clear" w:color="auto" w:fill="auto"/>
            <w:vAlign w:val="center"/>
          </w:tcPr>
          <w:p w14:paraId="17C004AC">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9"/>
                <w:rFonts w:hint="eastAsia" w:ascii="仿宋" w:hAnsi="仿宋" w:eastAsia="仿宋" w:cs="仿宋"/>
                <w:color w:val="000000" w:themeColor="text1"/>
                <w:sz w:val="24"/>
                <w:szCs w:val="24"/>
                <w:lang w:val="en-US" w:eastAsia="zh-CN" w:bidi="ar"/>
                <w14:textFill>
                  <w14:solidFill>
                    <w14:schemeClr w14:val="tx1"/>
                  </w14:solidFill>
                </w14:textFill>
              </w:rPr>
              <w:t>1、椅座：采用一体成型PU自结皮椅座，材质要求防霉、防菌；座椅四周全部采用圆角设计，无锐角。</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2、横梁：采用冷轧钢板焊接成型，钢管厚度不低于1.2mm，表面经防锈处理后静电喷涂。</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3、椅脚：采用铝合金压铸成型，抛光打磨后防锈处理，表面喷涂。</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4、金属件表面处理：采用塑粉（粉末涂料），根据《HG/T 2006-2022 热固性和热塑性粉末涂料》，外观（色泽均匀，无异物，呈松散粉末状）、筛余物、涂膜外观均合格，耐碱、耐酸，耐磨，耐冲击。</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5、调节脚垫：采用塑料脚垫，与地面接触无响声，可保护地面。</w:t>
            </w:r>
          </w:p>
        </w:tc>
      </w:tr>
      <w:tr w14:paraId="035E7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1992B091">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5" w:type="pct"/>
            <w:tcBorders>
              <w:tl2br w:val="nil"/>
              <w:tr2bl w:val="nil"/>
            </w:tcBorders>
            <w:shd w:val="clear" w:color="auto" w:fill="auto"/>
            <w:vAlign w:val="center"/>
          </w:tcPr>
          <w:p w14:paraId="6F4AE085">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候诊凳</w:t>
            </w:r>
          </w:p>
        </w:tc>
        <w:tc>
          <w:tcPr>
            <w:tcW w:w="1121" w:type="pct"/>
            <w:tcBorders>
              <w:tl2br w:val="nil"/>
              <w:tr2bl w:val="nil"/>
            </w:tcBorders>
            <w:shd w:val="clear" w:color="auto" w:fill="auto"/>
            <w:noWrap/>
            <w:vAlign w:val="center"/>
          </w:tcPr>
          <w:p w14:paraId="2C7DE09E">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743075" cy="1400175"/>
                  <wp:effectExtent l="0" t="0" r="9525"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5"/>
                          <a:stretch>
                            <a:fillRect/>
                          </a:stretch>
                        </pic:blipFill>
                        <pic:spPr>
                          <a:xfrm>
                            <a:off x="0" y="0"/>
                            <a:ext cx="1743075" cy="1400175"/>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32D3B18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≥1600mm*450mm*450mm</w:t>
            </w:r>
          </w:p>
        </w:tc>
        <w:tc>
          <w:tcPr>
            <w:tcW w:w="250" w:type="pct"/>
            <w:tcBorders>
              <w:tl2br w:val="nil"/>
              <w:tr2bl w:val="nil"/>
            </w:tcBorders>
            <w:shd w:val="clear" w:color="auto" w:fill="auto"/>
            <w:vAlign w:val="center"/>
          </w:tcPr>
          <w:p w14:paraId="29D88ADE">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245" w:type="pct"/>
            <w:tcBorders>
              <w:tl2br w:val="nil"/>
              <w:tr2bl w:val="nil"/>
            </w:tcBorders>
            <w:shd w:val="clear" w:color="auto" w:fill="auto"/>
            <w:noWrap/>
            <w:vAlign w:val="center"/>
          </w:tcPr>
          <w:p w14:paraId="36790F3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616" w:type="pct"/>
            <w:tcBorders>
              <w:tl2br w:val="nil"/>
              <w:tr2bl w:val="nil"/>
            </w:tcBorders>
            <w:shd w:val="clear" w:color="auto" w:fill="auto"/>
            <w:vAlign w:val="center"/>
          </w:tcPr>
          <w:p w14:paraId="2DA4EB54">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9"/>
                <w:rFonts w:hint="eastAsia" w:ascii="仿宋" w:hAnsi="仿宋" w:eastAsia="仿宋" w:cs="仿宋"/>
                <w:color w:val="000000" w:themeColor="text1"/>
                <w:sz w:val="24"/>
                <w:szCs w:val="24"/>
                <w:lang w:val="en-US" w:eastAsia="zh-CN" w:bidi="ar"/>
                <w14:textFill>
                  <w14:solidFill>
                    <w14:schemeClr w14:val="tx1"/>
                  </w14:solidFill>
                </w14:textFill>
              </w:rPr>
              <w:t>1、椅座：采用一体成型PU自结皮椅座，材质要求防霉、防菌；座椅四周全部采用圆角设计，无锐角。</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2、扶手：采用铝合金材质压铸成型，扶手为封闭式结构。</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3、横梁：由钢管弯曲焊接成型，表面做静电喷粉处理。</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4、椅脚：采用铝合金压铸成型，抛光打磨后防锈处理，表面喷涂。</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5、金属件表面处理：采用塑粉（粉末涂料），根据HG/T 2006-2022 热固性和热塑性粉末涂料，外观（色泽均匀，无异物，呈松散粉末状）、筛余物、涂膜外观均合格，附着力性、耐碱性、耐酸性、耐磨性、耐冲击性均需合格。</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★6、承重压力：每个座位可承受≥100kg的静止压力。</w:t>
            </w:r>
          </w:p>
        </w:tc>
      </w:tr>
      <w:tr w14:paraId="09B35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1E7D03DE">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5" w:type="pct"/>
            <w:tcBorders>
              <w:tl2br w:val="nil"/>
              <w:tr2bl w:val="nil"/>
            </w:tcBorders>
            <w:shd w:val="clear" w:color="auto" w:fill="auto"/>
            <w:vAlign w:val="center"/>
          </w:tcPr>
          <w:p w14:paraId="4C889CA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床头收纳箱</w:t>
            </w:r>
          </w:p>
        </w:tc>
        <w:tc>
          <w:tcPr>
            <w:tcW w:w="1121" w:type="pct"/>
            <w:tcBorders>
              <w:tl2br w:val="nil"/>
              <w:tr2bl w:val="nil"/>
            </w:tcBorders>
            <w:shd w:val="clear" w:color="auto" w:fill="auto"/>
            <w:vAlign w:val="center"/>
          </w:tcPr>
          <w:p w14:paraId="0293F75F">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826135" cy="1304925"/>
                  <wp:effectExtent l="0" t="0" r="1206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826135" cy="1304925"/>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5CE57155">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≥470mm×400mm×800mm</w:t>
            </w:r>
          </w:p>
        </w:tc>
        <w:tc>
          <w:tcPr>
            <w:tcW w:w="250" w:type="pct"/>
            <w:tcBorders>
              <w:tl2br w:val="nil"/>
              <w:tr2bl w:val="nil"/>
            </w:tcBorders>
            <w:shd w:val="clear" w:color="auto" w:fill="auto"/>
            <w:vAlign w:val="center"/>
          </w:tcPr>
          <w:p w14:paraId="7883C0E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0083826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c>
          <w:tcPr>
            <w:tcW w:w="2616" w:type="pct"/>
            <w:tcBorders>
              <w:tl2br w:val="nil"/>
              <w:tr2bl w:val="nil"/>
            </w:tcBorders>
            <w:shd w:val="clear" w:color="auto" w:fill="auto"/>
            <w:vAlign w:val="center"/>
          </w:tcPr>
          <w:p w14:paraId="05C3D68E">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▲1、基材：柜体采用冷轧钢板，柜面及柜脚采用304不锈钢，表面光滑、防腐防锈，无剥落、裂纹、皱纹等缺陷。</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2、上下两层均采用嵌入式全铝合金拉手。</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3、其余：柜体采用冷轧钢板，门板采用≥0.7mm冷轧钢板，侧板采用≥0.6mm冷轧钢板，其它部位采用≥0.5mm冷轧钢板，表面做专业防腐处理及静电粉末喷涂处理。</w:t>
            </w:r>
            <w:r>
              <w:rPr>
                <w:rStyle w:val="9"/>
                <w:rFonts w:hint="eastAsia" w:ascii="仿宋" w:hAnsi="仿宋" w:eastAsia="仿宋" w:cs="仿宋"/>
                <w:color w:val="000000" w:themeColor="text1"/>
                <w:sz w:val="24"/>
                <w:szCs w:val="24"/>
                <w:lang w:val="en-US" w:eastAsia="zh-CN" w:bidi="ar"/>
                <w14:textFill>
                  <w14:solidFill>
                    <w14:schemeClr w14:val="tx1"/>
                  </w14:solidFill>
                </w14:textFill>
              </w:rPr>
              <w:t>耐腐性、耐磨性、耐冲击性均需合格。</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p>
        </w:tc>
      </w:tr>
      <w:tr w14:paraId="5FE8E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2C8E372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5" w:type="pct"/>
            <w:tcBorders>
              <w:tl2br w:val="nil"/>
              <w:tr2bl w:val="nil"/>
            </w:tcBorders>
            <w:shd w:val="clear" w:color="auto" w:fill="auto"/>
            <w:vAlign w:val="center"/>
          </w:tcPr>
          <w:p w14:paraId="4921B19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中文件柜</w:t>
            </w:r>
          </w:p>
        </w:tc>
        <w:tc>
          <w:tcPr>
            <w:tcW w:w="1121" w:type="pct"/>
            <w:tcBorders>
              <w:tl2br w:val="nil"/>
              <w:tr2bl w:val="nil"/>
            </w:tcBorders>
            <w:shd w:val="clear" w:color="auto" w:fill="auto"/>
            <w:noWrap/>
            <w:vAlign w:val="center"/>
          </w:tcPr>
          <w:p w14:paraId="5615AB20">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530985" cy="1028700"/>
                  <wp:effectExtent l="0" t="0" r="12065" b="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9"/>
                          <a:stretch>
                            <a:fillRect/>
                          </a:stretch>
                        </pic:blipFill>
                        <pic:spPr>
                          <a:xfrm>
                            <a:off x="0" y="0"/>
                            <a:ext cx="1530985" cy="102870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25875928">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≥1200mm×600mm×830mm（小抽屉尺寸：高 140mm、宽 240mm）</w:t>
            </w:r>
          </w:p>
        </w:tc>
        <w:tc>
          <w:tcPr>
            <w:tcW w:w="250" w:type="pct"/>
            <w:tcBorders>
              <w:tl2br w:val="nil"/>
              <w:tr2bl w:val="nil"/>
            </w:tcBorders>
            <w:shd w:val="clear" w:color="auto" w:fill="auto"/>
            <w:vAlign w:val="center"/>
          </w:tcPr>
          <w:p w14:paraId="4FE52B7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3D3B4D0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616" w:type="pct"/>
            <w:tcBorders>
              <w:tl2br w:val="nil"/>
              <w:tr2bl w:val="nil"/>
            </w:tcBorders>
            <w:shd w:val="clear" w:color="auto" w:fill="auto"/>
            <w:vAlign w:val="center"/>
          </w:tcPr>
          <w:p w14:paraId="2894FC6A">
            <w:pPr>
              <w:keepNext w:val="0"/>
              <w:keepLines w:val="0"/>
              <w:pageBreakBefore w:val="0"/>
              <w:widowControl w:val="0"/>
              <w:suppressLineNumbers w:val="0"/>
              <w:kinsoku/>
              <w:wordWrap w:val="0"/>
              <w:overflowPunct/>
              <w:topLinePunct w:val="0"/>
              <w:autoSpaceDE/>
              <w:autoSpaceDN/>
              <w:bidi w:val="0"/>
              <w:adjustRightInd w:val="0"/>
              <w:snapToGrid w:val="0"/>
              <w:spacing w:afterAutospacing="0"/>
              <w:jc w:val="left"/>
              <w:textAlignment w:val="center"/>
              <w:rPr>
                <w:rStyle w:val="7"/>
                <w:rFonts w:hint="eastAsia" w:ascii="仿宋" w:hAnsi="仿宋" w:eastAsia="仿宋" w:cs="仿宋"/>
                <w:color w:val="000000" w:themeColor="text1"/>
                <w:sz w:val="24"/>
                <w:szCs w:val="24"/>
                <w:lang w:val="en-US" w:eastAsia="zh-CN" w:bidi="ar"/>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▲1、基材：采用304不锈钢板，表面热转印技术贴面为仿古纹，表面光滑，无剥落、裂纹、皱纹。</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2、塑粉：采用塑粉（粉末涂料），根据《HG/T 2006-2022 热固性和热塑性粉末涂料》，外观（色泽均匀，无异物，呈松散粉末状）、筛余物、涂膜外观均合格。</w:t>
            </w:r>
          </w:p>
          <w:p w14:paraId="4A06CC84">
            <w:pPr>
              <w:keepNext w:val="0"/>
              <w:keepLines w:val="0"/>
              <w:pageBreakBefore w:val="0"/>
              <w:widowControl w:val="0"/>
              <w:numPr>
                <w:ilvl w:val="0"/>
                <w:numId w:val="1"/>
              </w:numPr>
              <w:suppressLineNumbers w:val="0"/>
              <w:kinsoku/>
              <w:wordWrap w:val="0"/>
              <w:overflowPunct/>
              <w:topLinePunct w:val="0"/>
              <w:autoSpaceDE/>
              <w:autoSpaceDN/>
              <w:bidi w:val="0"/>
              <w:adjustRightInd w:val="0"/>
              <w:snapToGrid w:val="0"/>
              <w:spacing w:afterAutospacing="0"/>
              <w:jc w:val="left"/>
              <w:textAlignment w:val="center"/>
              <w:rPr>
                <w:rStyle w:val="8"/>
                <w:rFonts w:hint="eastAsia" w:ascii="仿宋" w:hAnsi="仿宋" w:eastAsia="仿宋" w:cs="仿宋"/>
                <w:color w:val="000000" w:themeColor="text1"/>
                <w:sz w:val="24"/>
                <w:szCs w:val="24"/>
                <w:lang w:val="en-US" w:eastAsia="zh-CN" w:bidi="ar"/>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门面：采用实木门面，表面搭配不锈钢管拉丝工艺处理</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★4、工艺：采用仿木纹转印工艺，防虫鼠、</w:t>
            </w:r>
            <w:r>
              <w:rPr>
                <w:rStyle w:val="9"/>
                <w:rFonts w:hint="eastAsia" w:ascii="仿宋" w:hAnsi="仿宋" w:eastAsia="仿宋" w:cs="仿宋"/>
                <w:color w:val="000000" w:themeColor="text1"/>
                <w:sz w:val="24"/>
                <w:szCs w:val="24"/>
                <w:lang w:val="en-US" w:eastAsia="zh-CN" w:bidi="ar"/>
                <w14:textFill>
                  <w14:solidFill>
                    <w14:schemeClr w14:val="tx1"/>
                  </w14:solidFill>
                </w14:textFill>
              </w:rPr>
              <w:t>耐腐性、耐磨性、耐冲击性均需合格</w:t>
            </w:r>
            <w:r>
              <w:rPr>
                <w:rStyle w:val="7"/>
                <w:rFonts w:hint="eastAsia" w:ascii="仿宋" w:hAnsi="仿宋" w:eastAsia="仿宋" w:cs="仿宋"/>
                <w:color w:val="000000" w:themeColor="text1"/>
                <w:sz w:val="24"/>
                <w:szCs w:val="24"/>
                <w:lang w:val="en-US" w:eastAsia="zh-CN" w:bidi="ar"/>
                <w14:textFill>
                  <w14:solidFill>
                    <w14:schemeClr w14:val="tx1"/>
                  </w14:solidFill>
                </w14:textFill>
              </w:rPr>
              <w:t>。</w:t>
            </w:r>
          </w:p>
        </w:tc>
      </w:tr>
      <w:tr w14:paraId="3978C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72B44823">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25" w:type="pct"/>
            <w:tcBorders>
              <w:tl2br w:val="nil"/>
              <w:tr2bl w:val="nil"/>
            </w:tcBorders>
            <w:shd w:val="clear" w:color="auto" w:fill="auto"/>
            <w:vAlign w:val="center"/>
          </w:tcPr>
          <w:p w14:paraId="58E152A8">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高文件柜</w:t>
            </w:r>
          </w:p>
        </w:tc>
        <w:tc>
          <w:tcPr>
            <w:tcW w:w="1121" w:type="pct"/>
            <w:tcBorders>
              <w:tl2br w:val="nil"/>
              <w:tr2bl w:val="nil"/>
            </w:tcBorders>
            <w:shd w:val="clear" w:color="auto" w:fill="auto"/>
            <w:noWrap/>
            <w:vAlign w:val="center"/>
          </w:tcPr>
          <w:p w14:paraId="6C5B79D2">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377950" cy="1783080"/>
                  <wp:effectExtent l="0" t="0" r="12700" b="762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0"/>
                          <a:stretch>
                            <a:fillRect/>
                          </a:stretch>
                        </pic:blipFill>
                        <pic:spPr>
                          <a:xfrm>
                            <a:off x="0" y="0"/>
                            <a:ext cx="1377950" cy="178308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005530C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≥1500mm×500mm×1800mm（小抽屉尺寸：高 110mm、宽 260mm）</w:t>
            </w:r>
          </w:p>
        </w:tc>
        <w:tc>
          <w:tcPr>
            <w:tcW w:w="250" w:type="pct"/>
            <w:tcBorders>
              <w:tl2br w:val="nil"/>
              <w:tr2bl w:val="nil"/>
            </w:tcBorders>
            <w:shd w:val="clear" w:color="auto" w:fill="auto"/>
            <w:vAlign w:val="center"/>
          </w:tcPr>
          <w:p w14:paraId="6A429EE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3974601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616" w:type="pct"/>
            <w:tcBorders>
              <w:tl2br w:val="nil"/>
              <w:tr2bl w:val="nil"/>
            </w:tcBorders>
            <w:shd w:val="clear" w:color="auto" w:fill="auto"/>
            <w:vAlign w:val="center"/>
          </w:tcPr>
          <w:p w14:paraId="253C5D62">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default" w:ascii="仿宋" w:hAnsi="仿宋" w:eastAsia="仿宋" w:cs="仿宋"/>
                <w:i w:val="0"/>
                <w:iCs w:val="0"/>
                <w:color w:val="000000" w:themeColor="text1"/>
                <w:sz w:val="24"/>
                <w:szCs w:val="24"/>
                <w:u w:val="none"/>
                <w:lang w:val="en-US"/>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1、基材：采用304不锈钢板，表面热转印技术贴面为仿古纹，表面光滑，无剥落、裂纹、皱纹。</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2、塑粉：采用塑粉（粉末涂料），根据《HG/T 2006-2022 热固性和热塑性粉末涂料》，外观（色泽均匀，无异物，呈松散粉末状）、筛余物、涂膜外观均合格</w:t>
            </w:r>
            <w:r>
              <w:rPr>
                <w:rStyle w:val="9"/>
                <w:rFonts w:hint="eastAsia" w:ascii="仿宋" w:hAnsi="仿宋" w:eastAsia="仿宋" w:cs="仿宋"/>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3、门面：采用实木门面，表面搭配不锈钢管拉丝工艺处理</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★4、工艺：采用仿木纹转印工艺，防虫鼠、</w:t>
            </w:r>
            <w:r>
              <w:rPr>
                <w:rStyle w:val="9"/>
                <w:rFonts w:hint="eastAsia" w:ascii="仿宋" w:hAnsi="仿宋" w:eastAsia="仿宋" w:cs="仿宋"/>
                <w:color w:val="000000" w:themeColor="text1"/>
                <w:sz w:val="24"/>
                <w:szCs w:val="24"/>
                <w:lang w:val="en-US" w:eastAsia="zh-CN" w:bidi="ar"/>
                <w14:textFill>
                  <w14:solidFill>
                    <w14:schemeClr w14:val="tx1"/>
                  </w14:solidFill>
                </w14:textFill>
              </w:rPr>
              <w:t>耐腐性、耐磨性、耐冲击性均需合格</w:t>
            </w:r>
            <w:r>
              <w:rPr>
                <w:rStyle w:val="7"/>
                <w:rFonts w:hint="eastAsia" w:ascii="仿宋" w:hAnsi="仿宋" w:eastAsia="仿宋" w:cs="仿宋"/>
                <w:color w:val="000000" w:themeColor="text1"/>
                <w:sz w:val="24"/>
                <w:szCs w:val="24"/>
                <w:lang w:val="en-US" w:eastAsia="zh-CN" w:bidi="ar"/>
                <w14:textFill>
                  <w14:solidFill>
                    <w14:schemeClr w14:val="tx1"/>
                  </w14:solidFill>
                </w14:textFill>
              </w:rPr>
              <w:t>。</w:t>
            </w:r>
          </w:p>
        </w:tc>
      </w:tr>
      <w:tr w14:paraId="652B3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259C4D2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125" w:type="pct"/>
            <w:tcBorders>
              <w:tl2br w:val="nil"/>
              <w:tr2bl w:val="nil"/>
            </w:tcBorders>
            <w:shd w:val="clear" w:color="auto" w:fill="auto"/>
            <w:vAlign w:val="center"/>
          </w:tcPr>
          <w:p w14:paraId="03D8D884">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文件柜</w:t>
            </w:r>
          </w:p>
        </w:tc>
        <w:tc>
          <w:tcPr>
            <w:tcW w:w="1121" w:type="pct"/>
            <w:tcBorders>
              <w:tl2br w:val="nil"/>
              <w:tr2bl w:val="nil"/>
            </w:tcBorders>
            <w:shd w:val="clear" w:color="auto" w:fill="auto"/>
            <w:vAlign w:val="center"/>
          </w:tcPr>
          <w:p w14:paraId="3B588FD3">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005840" cy="1841500"/>
                  <wp:effectExtent l="0" t="0" r="3810" b="635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1"/>
                          <a:stretch>
                            <a:fillRect/>
                          </a:stretch>
                        </pic:blipFill>
                        <pic:spPr>
                          <a:xfrm>
                            <a:off x="0" y="0"/>
                            <a:ext cx="1005840" cy="184150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6D7F31B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≥850mm×390mm×1800mm</w:t>
            </w:r>
          </w:p>
        </w:tc>
        <w:tc>
          <w:tcPr>
            <w:tcW w:w="250" w:type="pct"/>
            <w:tcBorders>
              <w:tl2br w:val="nil"/>
              <w:tr2bl w:val="nil"/>
            </w:tcBorders>
            <w:shd w:val="clear" w:color="auto" w:fill="auto"/>
            <w:vAlign w:val="center"/>
          </w:tcPr>
          <w:p w14:paraId="0008DB59">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68EFA45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616" w:type="pct"/>
            <w:tcBorders>
              <w:tl2br w:val="nil"/>
              <w:tr2bl w:val="nil"/>
            </w:tcBorders>
            <w:shd w:val="clear" w:color="auto" w:fill="auto"/>
            <w:vAlign w:val="center"/>
          </w:tcPr>
          <w:p w14:paraId="3BCB3EED">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jc w:val="left"/>
              <w:textAlignment w:val="center"/>
              <w:rPr>
                <w:rStyle w:val="7"/>
                <w:rFonts w:hint="default" w:ascii="仿宋" w:hAnsi="仿宋" w:eastAsia="仿宋" w:cs="仿宋"/>
                <w:color w:val="000000" w:themeColor="text1"/>
                <w:sz w:val="24"/>
                <w:szCs w:val="24"/>
                <w:lang w:val="en-US" w:eastAsia="zh-CN" w:bidi="ar"/>
                <w14:textFill>
                  <w14:solidFill>
                    <w14:schemeClr w14:val="tx1"/>
                  </w14:solidFill>
                </w14:textFill>
              </w:rPr>
            </w:pPr>
            <w:r>
              <w:rPr>
                <w:rFonts w:hint="eastAsia" w:ascii="仿宋" w:hAnsi="仿宋" w:eastAsia="仿宋" w:cs="仿宋"/>
                <w:color w:val="000000" w:themeColor="text1"/>
                <w:kern w:val="2"/>
                <w:sz w:val="24"/>
                <w:szCs w:val="24"/>
                <w:lang w:val="en-US" w:eastAsia="zh-CN" w:bidi="ar"/>
                <w14:textFill>
                  <w14:solidFill>
                    <w14:schemeClr w14:val="tx1"/>
                  </w14:solidFill>
                </w14:textFill>
              </w:rPr>
              <w:t>1、</w:t>
            </w:r>
            <w:r>
              <w:rPr>
                <w:rStyle w:val="7"/>
                <w:rFonts w:hint="eastAsia" w:ascii="仿宋" w:hAnsi="仿宋" w:eastAsia="仿宋" w:cs="仿宋"/>
                <w:color w:val="000000" w:themeColor="text1"/>
                <w:sz w:val="24"/>
                <w:szCs w:val="24"/>
                <w:lang w:val="en-US" w:eastAsia="zh-CN" w:bidi="ar"/>
                <w14:textFill>
                  <w14:solidFill>
                    <w14:schemeClr w14:val="tx1"/>
                  </w14:solidFill>
                </w14:textFill>
              </w:rPr>
              <w:t>基材：选用冷轧钢板制作，板材厚度≥0.5mm。经过脱脂、水洗、皮膜化成、再水洗等十道防锈前处理。</w:t>
            </w:r>
          </w:p>
          <w:p w14:paraId="4A8AA0CA">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2"/>
                <w:sz w:val="24"/>
                <w:szCs w:val="24"/>
                <w:lang w:val="en-US" w:eastAsia="zh-CN" w:bidi="ar-SA"/>
                <w14:textFill>
                  <w14:solidFill>
                    <w14:schemeClr w14:val="tx1"/>
                  </w14:solidFill>
                </w14:textFill>
              </w:rPr>
              <w:t>2、</w:t>
            </w:r>
            <w:r>
              <w:rPr>
                <w:rStyle w:val="7"/>
                <w:rFonts w:hint="eastAsia" w:ascii="仿宋" w:hAnsi="仿宋" w:eastAsia="仿宋" w:cs="仿宋"/>
                <w:color w:val="000000" w:themeColor="text1"/>
                <w:sz w:val="24"/>
                <w:szCs w:val="24"/>
                <w:lang w:val="en-US" w:eastAsia="zh-CN" w:bidi="ar"/>
                <w14:textFill>
                  <w14:solidFill>
                    <w14:schemeClr w14:val="tx1"/>
                  </w14:solidFill>
                </w14:textFill>
              </w:rPr>
              <w:t>塑粉：采用塑粉（粉末涂料），根据HG/T 2006-2022 热固性和热塑性粉末涂料，外观（色泽均匀，无异物，呈松散粉末状）、筛余物、涂膜外观均合格，</w:t>
            </w:r>
            <w:r>
              <w:rPr>
                <w:rStyle w:val="9"/>
                <w:rFonts w:hint="eastAsia" w:ascii="仿宋" w:hAnsi="仿宋" w:eastAsia="仿宋" w:cs="仿宋"/>
                <w:color w:val="000000" w:themeColor="text1"/>
                <w:sz w:val="24"/>
                <w:szCs w:val="24"/>
                <w:lang w:val="en-US" w:eastAsia="zh-CN" w:bidi="ar"/>
                <w14:textFill>
                  <w14:solidFill>
                    <w14:schemeClr w14:val="tx1"/>
                  </w14:solidFill>
                </w14:textFill>
              </w:rPr>
              <w:t>附着力性、耐碱性、耐酸性、耐磨性、耐冲击性均需合格。</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3、其他：带框玻门安装浮法玻璃，采用U型胶条配合柔性塑料固定卡固定玻璃；玻璃与门框贴合平整稳固，减震。门板使用静音锁结构，上玻门内置可调节搁板，可根据使用情况灵活调整层高。铝材制锁杆。</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p>
        </w:tc>
      </w:tr>
      <w:tr w14:paraId="41AE6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0854CE4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5" w:type="pct"/>
            <w:tcBorders>
              <w:tl2br w:val="nil"/>
              <w:tr2bl w:val="nil"/>
            </w:tcBorders>
            <w:shd w:val="clear" w:color="auto" w:fill="auto"/>
            <w:vAlign w:val="center"/>
          </w:tcPr>
          <w:p w14:paraId="6F27EFBA">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三节置物柜 </w:t>
            </w:r>
          </w:p>
        </w:tc>
        <w:tc>
          <w:tcPr>
            <w:tcW w:w="1121" w:type="pct"/>
            <w:tcBorders>
              <w:tl2br w:val="nil"/>
              <w:tr2bl w:val="nil"/>
            </w:tcBorders>
            <w:shd w:val="clear" w:color="auto" w:fill="auto"/>
            <w:noWrap/>
            <w:vAlign w:val="center"/>
          </w:tcPr>
          <w:p w14:paraId="1DF059D2">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613535" cy="1496060"/>
                  <wp:effectExtent l="0" t="0" r="5715" b="889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2"/>
                          <a:stretch>
                            <a:fillRect/>
                          </a:stretch>
                        </pic:blipFill>
                        <pic:spPr>
                          <a:xfrm>
                            <a:off x="0" y="0"/>
                            <a:ext cx="1613535" cy="1496060"/>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5EA56156">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≥1000mm×600mm×2800mm</w:t>
            </w:r>
          </w:p>
        </w:tc>
        <w:tc>
          <w:tcPr>
            <w:tcW w:w="250" w:type="pct"/>
            <w:tcBorders>
              <w:tl2br w:val="nil"/>
              <w:tr2bl w:val="nil"/>
            </w:tcBorders>
            <w:shd w:val="clear" w:color="auto" w:fill="auto"/>
            <w:vAlign w:val="center"/>
          </w:tcPr>
          <w:p w14:paraId="43B8ECB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29689E7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616" w:type="pct"/>
            <w:tcBorders>
              <w:tl2br w:val="nil"/>
              <w:tr2bl w:val="nil"/>
            </w:tcBorders>
            <w:shd w:val="clear" w:color="auto" w:fill="auto"/>
            <w:vAlign w:val="center"/>
          </w:tcPr>
          <w:p w14:paraId="3F7853FD">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▲1、基材：选用冷轧钢板制作，板材厚度≥0.5mm。</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color w:val="000000" w:themeColor="text1"/>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2、静电粉末：采用塑粉（粉末涂料），根据《HG/T 2006-2022 热固性和热塑性粉末涂料》，外观（色泽均匀，无异物，呈松散粉末状）、筛余物、涂膜外观均合格，</w:t>
            </w:r>
            <w:r>
              <w:rPr>
                <w:rStyle w:val="9"/>
                <w:rFonts w:hint="eastAsia" w:ascii="仿宋" w:hAnsi="仿宋" w:eastAsia="仿宋" w:cs="仿宋"/>
                <w:color w:val="000000" w:themeColor="text1"/>
                <w:sz w:val="24"/>
                <w:szCs w:val="24"/>
                <w:lang w:val="en-US" w:eastAsia="zh-CN" w:bidi="ar"/>
                <w14:textFill>
                  <w14:solidFill>
                    <w14:schemeClr w14:val="tx1"/>
                  </w14:solidFill>
                </w14:textFill>
              </w:rPr>
              <w:t>附着力性、耐碱性、耐酸性、耐磨性、耐冲击性均需合格。</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3、其他：上门铰采用钣金铰座，可控制门板开启角度，门板最大开启后不与柜体侧边框碰撞，有效保护漆面。门板使用静音锁结构，铝材制锁杆。基材经过脱脂、水洗、皮膜化成、再水洗等十道防锈前处理。</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p>
        </w:tc>
      </w:tr>
      <w:tr w14:paraId="7091D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184" w:type="pct"/>
            <w:tcBorders>
              <w:tl2br w:val="nil"/>
              <w:tr2bl w:val="nil"/>
            </w:tcBorders>
            <w:shd w:val="clear" w:color="auto" w:fill="auto"/>
            <w:vAlign w:val="center"/>
          </w:tcPr>
          <w:p w14:paraId="19E7D992">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c>
          <w:tcPr>
            <w:tcW w:w="125" w:type="pct"/>
            <w:tcBorders>
              <w:tl2br w:val="nil"/>
              <w:tr2bl w:val="nil"/>
            </w:tcBorders>
            <w:shd w:val="clear" w:color="auto" w:fill="auto"/>
            <w:vAlign w:val="center"/>
          </w:tcPr>
          <w:p w14:paraId="4B631B93">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储物柜</w:t>
            </w:r>
          </w:p>
        </w:tc>
        <w:tc>
          <w:tcPr>
            <w:tcW w:w="1121" w:type="pct"/>
            <w:tcBorders>
              <w:tl2br w:val="nil"/>
              <w:tr2bl w:val="nil"/>
            </w:tcBorders>
            <w:shd w:val="clear" w:color="auto" w:fill="auto"/>
            <w:noWrap/>
            <w:vAlign w:val="center"/>
          </w:tcPr>
          <w:p w14:paraId="55A21666">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cs="仿宋" w:eastAsiaTheme="minorEastAsia"/>
                <w:i w:val="0"/>
                <w:iCs w:val="0"/>
                <w:color w:val="000000" w:themeColor="text1"/>
                <w:sz w:val="24"/>
                <w:szCs w:val="24"/>
                <w:u w:val="none"/>
                <w:lang w:eastAsia="zh-CN"/>
                <w14:textFill>
                  <w14:solidFill>
                    <w14:schemeClr w14:val="tx1"/>
                  </w14:solidFill>
                </w14:textFill>
              </w:rPr>
            </w:pPr>
            <w:r>
              <w:rPr>
                <w:rFonts w:hint="eastAsia" w:ascii="仿宋" w:hAnsi="仿宋" w:cs="仿宋" w:eastAsiaTheme="minorEastAsia"/>
                <w:i w:val="0"/>
                <w:iCs w:val="0"/>
                <w:color w:val="000000" w:themeColor="text1"/>
                <w:sz w:val="24"/>
                <w:szCs w:val="24"/>
                <w:u w:val="none"/>
                <w:lang w:eastAsia="zh-CN"/>
                <w14:textFill>
                  <w14:solidFill>
                    <w14:schemeClr w14:val="tx1"/>
                  </w14:solidFill>
                </w14:textFill>
              </w:rPr>
              <w:drawing>
                <wp:inline distT="0" distB="0" distL="114300" distR="114300">
                  <wp:extent cx="1229360" cy="1854200"/>
                  <wp:effectExtent l="0" t="0" r="0" b="12700"/>
                  <wp:docPr id="14" name="图片 14" descr="kappframework-WEVTv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kappframework-WEVTvG(1)(1)"/>
                          <pic:cNvPicPr>
                            <a:picLocks noChangeAspect="1"/>
                          </pic:cNvPicPr>
                        </pic:nvPicPr>
                        <pic:blipFill>
                          <a:blip r:embed="rId13"/>
                          <a:stretch>
                            <a:fillRect/>
                          </a:stretch>
                        </pic:blipFill>
                        <pic:spPr>
                          <a:xfrm>
                            <a:off x="0" y="0"/>
                            <a:ext cx="1229360" cy="1854200"/>
                          </a:xfrm>
                          <a:prstGeom prst="rect">
                            <a:avLst/>
                          </a:prstGeom>
                        </pic:spPr>
                      </pic:pic>
                    </a:graphicData>
                  </a:graphic>
                </wp:inline>
              </w:drawing>
            </w:r>
          </w:p>
        </w:tc>
        <w:tc>
          <w:tcPr>
            <w:tcW w:w="455" w:type="pct"/>
            <w:tcBorders>
              <w:tl2br w:val="nil"/>
              <w:tr2bl w:val="nil"/>
            </w:tcBorders>
            <w:shd w:val="clear" w:color="auto" w:fill="auto"/>
            <w:vAlign w:val="center"/>
          </w:tcPr>
          <w:p w14:paraId="3324B68E">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≥1200mm×600mm×2000mm</w:t>
            </w:r>
          </w:p>
        </w:tc>
        <w:tc>
          <w:tcPr>
            <w:tcW w:w="250" w:type="pct"/>
            <w:tcBorders>
              <w:tl2br w:val="nil"/>
              <w:tr2bl w:val="nil"/>
            </w:tcBorders>
            <w:shd w:val="clear" w:color="auto" w:fill="auto"/>
            <w:vAlign w:val="center"/>
          </w:tcPr>
          <w:p w14:paraId="26BB912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个</w:t>
            </w:r>
          </w:p>
        </w:tc>
        <w:tc>
          <w:tcPr>
            <w:tcW w:w="245" w:type="pct"/>
            <w:tcBorders>
              <w:tl2br w:val="nil"/>
              <w:tr2bl w:val="nil"/>
            </w:tcBorders>
            <w:shd w:val="clear" w:color="auto" w:fill="auto"/>
            <w:noWrap/>
            <w:vAlign w:val="center"/>
          </w:tcPr>
          <w:p w14:paraId="76EBA7DB">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616" w:type="pct"/>
            <w:tcBorders>
              <w:tl2br w:val="nil"/>
              <w:tr2bl w:val="nil"/>
            </w:tcBorders>
            <w:shd w:val="clear" w:color="auto" w:fill="auto"/>
            <w:vAlign w:val="center"/>
          </w:tcPr>
          <w:p w14:paraId="53850050">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7"/>
                <w:rFonts w:hint="eastAsia" w:ascii="仿宋" w:hAnsi="仿宋" w:eastAsia="仿宋" w:cs="仿宋"/>
                <w:color w:val="000000" w:themeColor="text1"/>
                <w:sz w:val="24"/>
                <w:szCs w:val="24"/>
                <w:lang w:val="en-US" w:eastAsia="zh-CN" w:bidi="ar"/>
                <w14:textFill>
                  <w14:solidFill>
                    <w14:schemeClr w14:val="tx1"/>
                  </w14:solidFill>
                </w14:textFill>
              </w:rPr>
              <w:t>1、基材：采用实木颗粒板；根据《GB/T 15102-2017 浸渍胶膜纸饰面纤维板和刨花板》，耐光色牢度＞4级；《GB/T 29899-2024 人造板及其制品中挥发性有机化合物释放量试验方法 小型释放舱法》，总挥发性有机化合物（TVOC）≤10μg/m³；根据《GB/T 44689-2024 人造板及其制品气味分级及评价方法》，气味等级≤1级。</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▲2、面材：采用三聚氰胺纸；根据《GB/T 28995-2022 人造板饰面专用纸》，挥发物含量5.5-9.5%,浸胶量110～170%，预固化度20～70%。</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3、封边：采用PVC封边条；根据《QB/T 4463-2013 家具用封边条技术要求》，耐冷耐热、应无龟裂、无鼓泡、无变色、无起皱。塑料件外观（应无裂纹、明显变形、缩水、针孔，应无凹陷、飞边、褶皱、疙瘩，应无明显色差）未见缺陷。</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4、连接件：采用三合一连接件，满足《GB/T 28203-2011 家具用连接件技术要求及试验方法》要求，外观性能-金属件（应无露底、毛刺、镀层脱落、锈蚀等，应无起泡、烧焦，无光泽（整体异色）、针孔、裂纹、斑点等）未见缺陷，抗压、抗拉。</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▲5、铰链：采用阻尼铰链；根据《GB/T 3325-2024 金属家具通用技术条件》，外观性能-金属件：无露底、毛刺、镀层脱落、锈蚀等，应无起泡、烧焦，无光泽（整体异色）、针孔、裂纹、斑点、耐久。</w:t>
            </w:r>
            <w:r>
              <w:rPr>
                <w:rStyle w:val="9"/>
                <w:rFonts w:hint="eastAsia" w:ascii="仿宋" w:hAnsi="仿宋" w:eastAsia="仿宋" w:cs="仿宋"/>
                <w:b/>
                <w:bCs/>
                <w:color w:val="000000" w:themeColor="text1"/>
                <w:sz w:val="24"/>
                <w:szCs w:val="24"/>
                <w:lang w:val="en-US" w:eastAsia="zh-CN" w:bidi="ar"/>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提供国家认可的第三方检测机构出具的检验检测报告复印件加盖供应商公章为佐证</w:t>
            </w:r>
            <w:r>
              <w:rPr>
                <w:rStyle w:val="7"/>
                <w:rFonts w:hint="eastAsia" w:ascii="仿宋" w:hAnsi="仿宋" w:eastAsia="仿宋" w:cs="仿宋"/>
                <w:b/>
                <w:bCs/>
                <w:color w:val="000000" w:themeColor="text1"/>
                <w:sz w:val="24"/>
                <w:szCs w:val="24"/>
                <w:lang w:val="en-US" w:eastAsia="zh-CN" w:bidi="ar"/>
                <w14:textFill>
                  <w14:solidFill>
                    <w14:schemeClr w14:val="tx1"/>
                  </w14:solidFill>
                </w14:textFill>
              </w:rPr>
              <w:t>。)</w:t>
            </w:r>
            <w:r>
              <w:rPr>
                <w:rStyle w:val="7"/>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7"/>
                <w:rFonts w:hint="eastAsia" w:ascii="仿宋" w:hAnsi="仿宋" w:eastAsia="仿宋" w:cs="仿宋"/>
                <w:color w:val="000000" w:themeColor="text1"/>
                <w:sz w:val="24"/>
                <w:szCs w:val="24"/>
                <w:lang w:val="en-US" w:eastAsia="zh-CN" w:bidi="ar"/>
                <w14:textFill>
                  <w14:solidFill>
                    <w14:schemeClr w14:val="tx1"/>
                  </w14:solidFill>
                </w14:textFill>
              </w:rPr>
              <w:t>★6、拉手：采用铝合金拉手，无锈蚀、氧化膜脱落、刃口、毛刺、锐棱，表面应细密，无裂纹、黑斑等。</w:t>
            </w:r>
          </w:p>
        </w:tc>
      </w:tr>
      <w:tr w14:paraId="253B1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84" w:type="pct"/>
            <w:tcBorders>
              <w:tl2br w:val="nil"/>
              <w:tr2bl w:val="nil"/>
            </w:tcBorders>
            <w:shd w:val="clear" w:color="auto" w:fill="auto"/>
            <w:vAlign w:val="center"/>
          </w:tcPr>
          <w:p w14:paraId="2DE43258">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c>
          <w:tcPr>
            <w:tcW w:w="125" w:type="pct"/>
            <w:tcBorders>
              <w:tl2br w:val="nil"/>
              <w:tr2bl w:val="nil"/>
            </w:tcBorders>
            <w:shd w:val="clear" w:color="auto" w:fill="auto"/>
            <w:vAlign w:val="center"/>
          </w:tcPr>
          <w:p w14:paraId="14B61BCF">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木质沙发</w:t>
            </w:r>
          </w:p>
        </w:tc>
        <w:tc>
          <w:tcPr>
            <w:tcW w:w="1121" w:type="pct"/>
            <w:tcBorders>
              <w:tl2br w:val="nil"/>
              <w:tr2bl w:val="nil"/>
            </w:tcBorders>
            <w:shd w:val="clear" w:color="auto" w:fill="auto"/>
            <w:noWrap/>
            <w:vAlign w:val="center"/>
          </w:tcPr>
          <w:p w14:paraId="69EBDCA5">
            <w:pPr>
              <w:keepNext w:val="0"/>
              <w:keepLines w:val="0"/>
              <w:pageBreakBefore w:val="0"/>
              <w:widowControl w:val="0"/>
              <w:suppressLineNumbers w:val="0"/>
              <w:kinsoku/>
              <w:wordWrap w:val="0"/>
              <w:overflowPunct/>
              <w:topLinePunct w:val="0"/>
              <w:autoSpaceDE/>
              <w:autoSpaceDN/>
              <w:bidi w:val="0"/>
              <w:adjustRightInd w:val="0"/>
              <w:snapToGrid w:val="0"/>
              <w:ind w:left="0" w:leftChars="0" w:right="0" w:rightChars="0"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drawing>
                <wp:inline distT="0" distB="0" distL="114300" distR="114300">
                  <wp:extent cx="1835150" cy="1035685"/>
                  <wp:effectExtent l="0" t="0" r="12700" b="12065"/>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4"/>
                          <a:stretch>
                            <a:fillRect/>
                          </a:stretch>
                        </pic:blipFill>
                        <pic:spPr>
                          <a:xfrm>
                            <a:off x="0" y="0"/>
                            <a:ext cx="1835150" cy="1035685"/>
                          </a:xfrm>
                          <a:prstGeom prst="rect">
                            <a:avLst/>
                          </a:prstGeom>
                          <a:noFill/>
                          <a:ln w="9525">
                            <a:noFill/>
                          </a:ln>
                        </pic:spPr>
                      </pic:pic>
                    </a:graphicData>
                  </a:graphic>
                </wp:inline>
              </w:drawing>
            </w:r>
          </w:p>
        </w:tc>
        <w:tc>
          <w:tcPr>
            <w:tcW w:w="455" w:type="pct"/>
            <w:tcBorders>
              <w:tl2br w:val="nil"/>
              <w:tr2bl w:val="nil"/>
            </w:tcBorders>
            <w:shd w:val="clear" w:color="auto" w:fill="auto"/>
            <w:vAlign w:val="center"/>
          </w:tcPr>
          <w:p w14:paraId="260687E0">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≥1880mm×630mm×850mm</w:t>
            </w:r>
          </w:p>
        </w:tc>
        <w:tc>
          <w:tcPr>
            <w:tcW w:w="250" w:type="pct"/>
            <w:tcBorders>
              <w:tl2br w:val="nil"/>
              <w:tr2bl w:val="nil"/>
            </w:tcBorders>
            <w:shd w:val="clear" w:color="auto" w:fill="auto"/>
            <w:vAlign w:val="center"/>
          </w:tcPr>
          <w:p w14:paraId="40ECD402">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组</w:t>
            </w:r>
          </w:p>
        </w:tc>
        <w:tc>
          <w:tcPr>
            <w:tcW w:w="245" w:type="pct"/>
            <w:tcBorders>
              <w:tl2br w:val="nil"/>
              <w:tr2bl w:val="nil"/>
            </w:tcBorders>
            <w:shd w:val="clear" w:color="auto" w:fill="auto"/>
            <w:noWrap/>
            <w:vAlign w:val="center"/>
          </w:tcPr>
          <w:p w14:paraId="10A9A9A7">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616" w:type="pct"/>
            <w:tcBorders>
              <w:tl2br w:val="nil"/>
              <w:tr2bl w:val="nil"/>
            </w:tcBorders>
            <w:shd w:val="clear" w:color="auto" w:fill="auto"/>
            <w:vAlign w:val="center"/>
          </w:tcPr>
          <w:p w14:paraId="0120AC2C">
            <w:pPr>
              <w:keepNext w:val="0"/>
              <w:keepLines w:val="0"/>
              <w:pageBreakBefore w:val="0"/>
              <w:widowControl w:val="0"/>
              <w:suppressLineNumbers w:val="0"/>
              <w:kinsoku/>
              <w:wordWrap w:val="0"/>
              <w:overflowPunct/>
              <w:topLinePunct w:val="0"/>
              <w:autoSpaceDE/>
              <w:autoSpaceDN/>
              <w:bidi w:val="0"/>
              <w:adjustRightInd w:val="0"/>
              <w:snapToGrid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Style w:val="9"/>
                <w:rFonts w:hint="eastAsia" w:ascii="仿宋" w:hAnsi="仿宋" w:eastAsia="仿宋" w:cs="仿宋"/>
                <w:color w:val="000000" w:themeColor="text1"/>
                <w:sz w:val="24"/>
                <w:szCs w:val="24"/>
                <w:lang w:val="en-US" w:eastAsia="zh-CN" w:bidi="ar"/>
                <w14:textFill>
                  <w14:solidFill>
                    <w14:schemeClr w14:val="tx1"/>
                  </w14:solidFill>
                </w14:textFill>
              </w:rPr>
              <w:t>1、基材：选用鸡翅木，符合《红木》（GB/T 18107-</w:t>
            </w:r>
            <w:r>
              <w:rPr>
                <w:rStyle w:val="10"/>
                <w:rFonts w:hint="eastAsia" w:ascii="仿宋" w:hAnsi="仿宋" w:eastAsia="仿宋" w:cs="仿宋"/>
                <w:color w:val="000000" w:themeColor="text1"/>
                <w:sz w:val="24"/>
                <w:szCs w:val="24"/>
                <w:lang w:val="en-US" w:eastAsia="zh-CN" w:bidi="ar"/>
                <w14:textFill>
                  <w14:solidFill>
                    <w14:schemeClr w14:val="tx1"/>
                  </w14:solidFill>
                </w14:textFill>
              </w:rPr>
              <w:t>2017</w:t>
            </w:r>
            <w:r>
              <w:rPr>
                <w:rStyle w:val="9"/>
                <w:rFonts w:hint="eastAsia" w:ascii="仿宋" w:hAnsi="仿宋" w:eastAsia="仿宋" w:cs="仿宋"/>
                <w:color w:val="000000" w:themeColor="text1"/>
                <w:sz w:val="24"/>
                <w:szCs w:val="24"/>
                <w:lang w:val="en-US" w:eastAsia="zh-CN" w:bidi="ar"/>
                <w14:textFill>
                  <w14:solidFill>
                    <w14:schemeClr w14:val="tx1"/>
                  </w14:solidFill>
                </w14:textFill>
              </w:rPr>
              <w:t>），外表应无腐朽材，内表轻微腐朽面积不应超过零件面积的20％，无贯通裂缝，无虫蛀现象，鸡翅木质地坚硬、耐磨性强，不易变形或开裂。</w:t>
            </w:r>
            <w:r>
              <w:rPr>
                <w:rStyle w:val="9"/>
                <w:rFonts w:hint="eastAsia" w:ascii="仿宋" w:hAnsi="仿宋" w:eastAsia="仿宋" w:cs="仿宋"/>
                <w:color w:val="000000" w:themeColor="text1"/>
                <w:sz w:val="24"/>
                <w:szCs w:val="24"/>
                <w:lang w:val="en-US" w:eastAsia="zh-CN" w:bidi="ar"/>
                <w14:textFill>
                  <w14:solidFill>
                    <w14:schemeClr w14:val="tx1"/>
                  </w14:solidFill>
                </w14:textFill>
              </w:rPr>
              <w:br w:type="textWrapping"/>
            </w:r>
            <w:r>
              <w:rPr>
                <w:rStyle w:val="9"/>
                <w:rFonts w:hint="eastAsia" w:ascii="仿宋" w:hAnsi="仿宋" w:eastAsia="仿宋" w:cs="仿宋"/>
                <w:color w:val="000000" w:themeColor="text1"/>
                <w:sz w:val="24"/>
                <w:szCs w:val="24"/>
                <w:lang w:val="en-US" w:eastAsia="zh-CN" w:bidi="ar"/>
                <w14:textFill>
                  <w14:solidFill>
                    <w14:schemeClr w14:val="tx1"/>
                  </w14:solidFill>
                </w14:textFill>
              </w:rPr>
              <w:t>★2、油漆：采用水性油漆，稳定性强、耐水性、耐醇性、耐污染性、耐碱性。</w:t>
            </w:r>
          </w:p>
        </w:tc>
      </w:tr>
      <w:tr w14:paraId="63D8B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138" w:type="pct"/>
            <w:gridSpan w:val="5"/>
            <w:tcBorders>
              <w:tl2br w:val="nil"/>
              <w:tr2bl w:val="nil"/>
            </w:tcBorders>
            <w:shd w:val="clear" w:color="auto" w:fill="auto"/>
            <w:vAlign w:val="center"/>
          </w:tcPr>
          <w:p w14:paraId="3BA29F9D">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合计：</w:t>
            </w:r>
          </w:p>
        </w:tc>
        <w:tc>
          <w:tcPr>
            <w:tcW w:w="245" w:type="pct"/>
            <w:tcBorders>
              <w:tl2br w:val="nil"/>
              <w:tr2bl w:val="nil"/>
            </w:tcBorders>
            <w:shd w:val="clear" w:color="auto" w:fill="auto"/>
            <w:noWrap/>
            <w:vAlign w:val="center"/>
          </w:tcPr>
          <w:p w14:paraId="32642859">
            <w:pPr>
              <w:keepNext w:val="0"/>
              <w:keepLines w:val="0"/>
              <w:pageBreakBefore w:val="0"/>
              <w:widowControl w:val="0"/>
              <w:suppressLineNumbers w:val="0"/>
              <w:kinsoku/>
              <w:wordWrap w:val="0"/>
              <w:overflowPunct/>
              <w:topLinePunct w:val="0"/>
              <w:autoSpaceDE/>
              <w:autoSpaceDN/>
              <w:bidi w:val="0"/>
              <w:adjustRightInd w:val="0"/>
              <w:snapToGrid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79</w:t>
            </w:r>
          </w:p>
        </w:tc>
        <w:tc>
          <w:tcPr>
            <w:tcW w:w="2616" w:type="pct"/>
            <w:tcBorders>
              <w:tl2br w:val="nil"/>
              <w:tr2bl w:val="nil"/>
            </w:tcBorders>
            <w:shd w:val="clear" w:color="auto" w:fill="auto"/>
            <w:noWrap/>
            <w:vAlign w:val="center"/>
          </w:tcPr>
          <w:p w14:paraId="62FCCC29">
            <w:pPr>
              <w:keepNext w:val="0"/>
              <w:keepLines w:val="0"/>
              <w:pageBreakBefore w:val="0"/>
              <w:widowControl w:val="0"/>
              <w:kinsoku/>
              <w:wordWrap w:val="0"/>
              <w:overflowPunct/>
              <w:topLinePunct w:val="0"/>
              <w:autoSpaceDE/>
              <w:autoSpaceDN/>
              <w:bidi w:val="0"/>
              <w:adjustRightInd w:val="0"/>
              <w:snapToGrid w:val="0"/>
              <w:spacing w:after="0"/>
              <w:rPr>
                <w:rFonts w:hint="eastAsia" w:ascii="仿宋" w:hAnsi="仿宋" w:eastAsia="仿宋" w:cs="仿宋"/>
                <w:i w:val="0"/>
                <w:iCs w:val="0"/>
                <w:color w:val="000000" w:themeColor="text1"/>
                <w:sz w:val="24"/>
                <w:szCs w:val="24"/>
                <w:u w:val="none"/>
                <w14:textFill>
                  <w14:solidFill>
                    <w14:schemeClr w14:val="tx1"/>
                  </w14:solidFill>
                </w14:textFill>
              </w:rPr>
            </w:pPr>
          </w:p>
        </w:tc>
      </w:tr>
    </w:tbl>
    <w:p w14:paraId="6F809826"/>
    <w:p w14:paraId="4CF217A7">
      <w:bookmarkStart w:id="0" w:name="_GoBack"/>
      <w:bookmarkEnd w:id="0"/>
    </w:p>
    <w:sectPr>
      <w:pgSz w:w="16838" w:h="11906" w:orient="landscape"/>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A4A2CA"/>
    <w:multiLevelType w:val="singleLevel"/>
    <w:tmpl w:val="F8A4A2C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B5CC7"/>
    <w:rsid w:val="04585B40"/>
    <w:rsid w:val="114A3778"/>
    <w:rsid w:val="4AF64A04"/>
    <w:rsid w:val="4DC112FA"/>
    <w:rsid w:val="535930D8"/>
    <w:rsid w:val="567333AD"/>
    <w:rsid w:val="58564D34"/>
    <w:rsid w:val="62293E03"/>
    <w:rsid w:val="627806C9"/>
    <w:rsid w:val="6AB9187F"/>
    <w:rsid w:val="7BC6204D"/>
    <w:rsid w:val="7D380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character" w:styleId="6">
    <w:name w:val="Strong"/>
    <w:basedOn w:val="5"/>
    <w:qFormat/>
    <w:uiPriority w:val="0"/>
    <w:rPr>
      <w:b/>
    </w:rPr>
  </w:style>
  <w:style w:type="character" w:customStyle="1" w:styleId="7">
    <w:name w:val="font61"/>
    <w:basedOn w:val="5"/>
    <w:qFormat/>
    <w:uiPriority w:val="0"/>
    <w:rPr>
      <w:rFonts w:hint="eastAsia" w:ascii="微软雅黑" w:hAnsi="微软雅黑" w:eastAsia="微软雅黑" w:cs="微软雅黑"/>
      <w:color w:val="000000"/>
      <w:sz w:val="20"/>
      <w:szCs w:val="20"/>
      <w:u w:val="none"/>
    </w:rPr>
  </w:style>
  <w:style w:type="character" w:customStyle="1" w:styleId="8">
    <w:name w:val="font31"/>
    <w:basedOn w:val="5"/>
    <w:qFormat/>
    <w:uiPriority w:val="0"/>
    <w:rPr>
      <w:rFonts w:hint="eastAsia" w:ascii="微软雅黑" w:hAnsi="微软雅黑" w:eastAsia="微软雅黑" w:cs="微软雅黑"/>
      <w:b/>
      <w:bCs/>
      <w:color w:val="000000"/>
      <w:sz w:val="20"/>
      <w:szCs w:val="20"/>
      <w:u w:val="none"/>
    </w:rPr>
  </w:style>
  <w:style w:type="character" w:customStyle="1" w:styleId="9">
    <w:name w:val="font11"/>
    <w:basedOn w:val="5"/>
    <w:qFormat/>
    <w:uiPriority w:val="0"/>
    <w:rPr>
      <w:rFonts w:hint="eastAsia" w:ascii="微软雅黑" w:hAnsi="微软雅黑" w:eastAsia="微软雅黑" w:cs="微软雅黑"/>
      <w:color w:val="000000"/>
      <w:sz w:val="20"/>
      <w:szCs w:val="20"/>
      <w:u w:val="none"/>
    </w:rPr>
  </w:style>
  <w:style w:type="character" w:customStyle="1" w:styleId="10">
    <w:name w:val="font91"/>
    <w:basedOn w:val="5"/>
    <w:qFormat/>
    <w:uiPriority w:val="0"/>
    <w:rPr>
      <w:rFonts w:hint="eastAsia" w:ascii="微软雅黑" w:hAnsi="微软雅黑" w:eastAsia="微软雅黑" w:cs="微软雅黑"/>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3732</Words>
  <Characters>4387</Characters>
  <Lines>0</Lines>
  <Paragraphs>0</Paragraphs>
  <TotalTime>19</TotalTime>
  <ScaleCrop>false</ScaleCrop>
  <LinksUpToDate>false</LinksUpToDate>
  <CharactersWithSpaces>4454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2025-09-29T02:46:00Z</dcterms:created>
  <dc:creator>Administrator</dc:creator>
  <cp:lastModifiedBy>湫芊</cp:lastModifiedBy>
  <cp:lastPrinted>2025-09-29T09:54:01Z</cp:lastPrinted>
  <dcterms:modified xsi:type="dcterms:W3CDTF">2025-09-29T09:59:09Z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eyJoZGlkIjoiNTAzNTFjYTUyMmQ0YzgyZDY3YjNjYjhhNjdlNTUzMzciLCJ1c2VySWQiOiI0ODE0OTg1MjAifQ==</vt:lpwstr>
  </property>
  <property fmtid="{D5CDD505-2E9C-101B-9397-08002B2CF9AE}" pid="4" name="ICV">
    <vt:lpwstr>9594E7BD2B984251B165629DD869A064_13</vt:lpwstr>
  </property>
</Properties>
</file>